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5CBD" w14:textId="2D7A77F2" w:rsidR="00FD454D" w:rsidRPr="005D644A" w:rsidRDefault="00FD454D" w:rsidP="00FD454D">
      <w:pPr>
        <w:pStyle w:val="Akapitzlist"/>
        <w:numPr>
          <w:ilvl w:val="0"/>
          <w:numId w:val="1"/>
        </w:numPr>
        <w:spacing w:before="0" w:after="0"/>
        <w:rPr>
          <w:rFonts w:asciiTheme="minorHAnsi" w:eastAsia="Sylfaen" w:hAnsiTheme="minorHAnsi" w:cstheme="minorHAnsi"/>
          <w:color w:val="auto"/>
          <w:sz w:val="22"/>
          <w:szCs w:val="22"/>
        </w:rPr>
      </w:pPr>
      <w:r w:rsidRPr="005D644A">
        <w:rPr>
          <w:rFonts w:asciiTheme="minorHAnsi" w:eastAsia="Sylfaen" w:hAnsiTheme="minorHAnsi" w:cstheme="minorHAnsi"/>
          <w:color w:val="auto"/>
          <w:sz w:val="22"/>
          <w:szCs w:val="22"/>
          <w:lang w:bidi="de-DE"/>
        </w:rPr>
        <w:t xml:space="preserve">Die für die Verarbeitung Ihrer personenbezogenen Daten Verantwortliche ist PartyDeco sp. z o.o., ul. </w:t>
      </w:r>
      <w:r w:rsidR="0039454B">
        <w:rPr>
          <w:rFonts w:asciiTheme="minorHAnsi" w:eastAsia="Sylfaen" w:hAnsiTheme="minorHAnsi" w:cstheme="minorHAnsi"/>
          <w:color w:val="auto"/>
          <w:sz w:val="22"/>
          <w:szCs w:val="22"/>
          <w:lang w:bidi="de-DE"/>
        </w:rPr>
        <w:t>Limonkowa</w:t>
      </w:r>
      <w:r w:rsidRPr="005D644A">
        <w:rPr>
          <w:rFonts w:asciiTheme="minorHAnsi" w:eastAsia="Sylfaen" w:hAnsiTheme="minorHAnsi" w:cstheme="minorHAnsi"/>
          <w:color w:val="auto"/>
          <w:sz w:val="22"/>
          <w:szCs w:val="22"/>
          <w:lang w:bidi="de-DE"/>
        </w:rPr>
        <w:t xml:space="preserve"> 1, </w:t>
      </w:r>
      <w:r w:rsidR="0039454B">
        <w:rPr>
          <w:rFonts w:asciiTheme="minorHAnsi" w:eastAsia="Sylfaen" w:hAnsiTheme="minorHAnsi" w:cstheme="minorHAnsi"/>
          <w:color w:val="auto"/>
          <w:sz w:val="22"/>
          <w:szCs w:val="22"/>
          <w:lang w:bidi="de-DE"/>
        </w:rPr>
        <w:t xml:space="preserve">Ustowo, </w:t>
      </w:r>
      <w:r w:rsidRPr="005D644A">
        <w:rPr>
          <w:rFonts w:asciiTheme="minorHAnsi" w:eastAsia="Sylfaen" w:hAnsiTheme="minorHAnsi" w:cstheme="minorHAnsi"/>
          <w:color w:val="auto"/>
          <w:sz w:val="22"/>
          <w:szCs w:val="22"/>
          <w:lang w:bidi="de-DE"/>
        </w:rPr>
        <w:t>70-</w:t>
      </w:r>
      <w:r w:rsidR="0039454B">
        <w:rPr>
          <w:rFonts w:asciiTheme="minorHAnsi" w:eastAsia="Sylfaen" w:hAnsiTheme="minorHAnsi" w:cstheme="minorHAnsi"/>
          <w:color w:val="auto"/>
          <w:sz w:val="22"/>
          <w:szCs w:val="22"/>
          <w:lang w:bidi="de-DE"/>
        </w:rPr>
        <w:t>001</w:t>
      </w:r>
      <w:r w:rsidRPr="005D644A">
        <w:rPr>
          <w:rFonts w:asciiTheme="minorHAnsi" w:eastAsia="Sylfaen" w:hAnsiTheme="minorHAnsi" w:cstheme="minorHAnsi"/>
          <w:color w:val="auto"/>
          <w:sz w:val="22"/>
          <w:szCs w:val="22"/>
          <w:lang w:bidi="de-DE"/>
        </w:rPr>
        <w:t xml:space="preserve"> Szczecin, Tel. +48 91 433 81 97, Tel. +48 91 488 78 93, Fax +48 91 433 42 26, E-Mail: bok@partydeco.com, im Folgenden als „Verantwortliche“ bezeichnet.</w:t>
      </w:r>
    </w:p>
    <w:p w14:paraId="6D4B8C82" w14:textId="77777777" w:rsidR="00FD454D" w:rsidRPr="005D644A"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5D644A">
        <w:rPr>
          <w:rFonts w:eastAsia="Sylfaen" w:cstheme="minorHAnsi"/>
          <w:lang w:bidi="de-DE"/>
        </w:rPr>
        <w:t>Personenbezogene Daten:</w:t>
      </w:r>
    </w:p>
    <w:p w14:paraId="065A4CDE" w14:textId="2CE41730" w:rsidR="00FD454D" w:rsidRPr="005D644A"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5D644A">
        <w:rPr>
          <w:rFonts w:eastAsia="Sylfaen" w:cstheme="minorHAnsi"/>
          <w:lang w:bidi="de-DE"/>
        </w:rPr>
        <w:t xml:space="preserve">werden verarbeitet, um eine mögliche Zusammenarbeit herzustellen </w:t>
      </w:r>
      <w:r w:rsidR="00382E3B" w:rsidRPr="005D644A">
        <w:rPr>
          <w:rFonts w:eastAsia="Sylfaen" w:cstheme="minorHAnsi"/>
          <w:lang w:bidi="de-DE"/>
        </w:rPr>
        <w:t>–</w:t>
      </w:r>
      <w:r w:rsidRPr="005D644A">
        <w:rPr>
          <w:rFonts w:eastAsia="Sylfaen" w:cstheme="minorHAnsi"/>
          <w:lang w:bidi="de-DE"/>
        </w:rPr>
        <w:t xml:space="preserve"> Abschluss und Erfüllung eines Vertrags, an dem Sie möglicherweise beteiligt sind (Rechtsgrundlage: Art. 6 Abs. 1 lit. b der </w:t>
      </w:r>
      <w:r w:rsidRPr="005D644A">
        <w:rPr>
          <w:rFonts w:cstheme="minorHAnsi"/>
          <w:lang w:bidi="de-DE"/>
        </w:rPr>
        <w:t>Verordnung des Europäischen Parlaments und des Rates (EU) 2016 /679 vom 27. April 2016 zum Schutz natürlicher Personen bei der Verarbeitung personenbezogener Daten, zum freien Datenverkehr und zur Aufhebung der Richtlinie 95/46/EG</w:t>
      </w:r>
      <w:r w:rsidRPr="005D644A">
        <w:rPr>
          <w:rFonts w:eastAsia="Sylfaen" w:cstheme="minorHAnsi"/>
          <w:lang w:bidi="de-DE"/>
        </w:rPr>
        <w:t>),</w:t>
      </w:r>
    </w:p>
    <w:p w14:paraId="51439B04" w14:textId="77777777" w:rsidR="00FD454D" w:rsidRPr="005D644A"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5D644A">
        <w:rPr>
          <w:rFonts w:eastAsia="Sylfaen" w:cstheme="minorHAnsi"/>
          <w:lang w:bidi="de-DE"/>
        </w:rPr>
        <w:t>werden nicht zur Verfügung gestellt, ausgenommen Rechtspersonen, die aufgrund gesetzlicher Vorschriften zugelassen sind (</w:t>
      </w:r>
      <w:r w:rsidRPr="005D644A">
        <w:rPr>
          <w:rStyle w:val="fontstyle01"/>
          <w:rFonts w:asciiTheme="minorHAnsi" w:eastAsia="Times New Roman" w:hAnsiTheme="minorHAnsi" w:cstheme="minorHAnsi"/>
          <w:lang w:bidi="de-DE"/>
        </w:rPr>
        <w:t>um die der Verantwortlichen obliegenden Verpflichtungen zu erfüllen)</w:t>
      </w:r>
      <w:r w:rsidRPr="005D644A">
        <w:rPr>
          <w:rFonts w:cstheme="minorHAnsi"/>
          <w:lang w:bidi="de-DE"/>
        </w:rPr>
        <w:t xml:space="preserve"> o</w:t>
      </w:r>
      <w:r w:rsidRPr="005D644A">
        <w:rPr>
          <w:rFonts w:eastAsia="Sylfaen" w:cstheme="minorHAnsi"/>
          <w:lang w:bidi="de-DE"/>
        </w:rPr>
        <w:t>der aufgrund Ihrer schriftlichen Zustimmung.</w:t>
      </w:r>
    </w:p>
    <w:p w14:paraId="299ED567" w14:textId="77777777" w:rsidR="00FD454D" w:rsidRPr="005D644A"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5D644A">
        <w:rPr>
          <w:rFonts w:eastAsia="Calibri" w:cstheme="minorHAnsi"/>
          <w:lang w:bidi="de-DE"/>
        </w:rPr>
        <w:t>Der Kontakt mit dem Datenschutzbeauftragten der Verantwortlichen ist unter der folgenden E-Mail-Adresse möglich: iod@partydeco.com oder an die Postanschrift des Sitzes der Verantwortlichen.</w:t>
      </w:r>
    </w:p>
    <w:p w14:paraId="4D6D87F0" w14:textId="77777777" w:rsidR="00FD454D" w:rsidRPr="005D644A" w:rsidRDefault="00FD454D" w:rsidP="00FD454D">
      <w:pPr>
        <w:widowControl w:val="0"/>
        <w:numPr>
          <w:ilvl w:val="0"/>
          <w:numId w:val="1"/>
        </w:numPr>
        <w:shd w:val="clear" w:color="auto" w:fill="FFFFFF"/>
        <w:tabs>
          <w:tab w:val="left" w:pos="355"/>
        </w:tabs>
        <w:spacing w:after="0" w:line="240" w:lineRule="auto"/>
        <w:jc w:val="both"/>
        <w:rPr>
          <w:rFonts w:cstheme="minorHAnsi"/>
        </w:rPr>
      </w:pPr>
      <w:r w:rsidRPr="005D644A">
        <w:rPr>
          <w:rFonts w:eastAsia="Sylfaen" w:cstheme="minorHAnsi"/>
          <w:lang w:bidi="de-DE"/>
        </w:rPr>
        <w:t>Ihre personenbezogenen Daten werden bis zur Prüfung Ihrer Bewerbung, d.h. bis zur Entscheidung über die Zusammenarbeit, und im Falle der Begründung einer Zusammenarbeit – für die Dauer des Vertrages gespeichert. Die Dauer der Speicherung personenbezogener Daten kann um die Verjährungsfrist von Ansprüchen verlängert werden, wenn die Verarbeitung personenbezogener Daten für die Verfolgung möglicher Ansprüche oder die Abwehr solcher Ansprüche durch die Verantwortliche erforderlich ist.</w:t>
      </w:r>
    </w:p>
    <w:p w14:paraId="7E04F2E0" w14:textId="77777777" w:rsidR="00FD454D" w:rsidRPr="005D644A" w:rsidRDefault="00FD454D" w:rsidP="00FD454D">
      <w:pPr>
        <w:widowControl w:val="0"/>
        <w:numPr>
          <w:ilvl w:val="0"/>
          <w:numId w:val="1"/>
        </w:numPr>
        <w:shd w:val="clear" w:color="auto" w:fill="FFFFFF"/>
        <w:tabs>
          <w:tab w:val="left" w:pos="355"/>
        </w:tabs>
        <w:spacing w:after="0" w:line="240" w:lineRule="auto"/>
        <w:jc w:val="both"/>
        <w:rPr>
          <w:rFonts w:cstheme="minorHAnsi"/>
        </w:rPr>
      </w:pPr>
      <w:r w:rsidRPr="005D644A">
        <w:rPr>
          <w:rFonts w:cstheme="minorHAnsi"/>
          <w:lang w:bidi="de-DE"/>
        </w:rPr>
        <w:t>Ihre personenbezogenen Daten können von der Verantwortlichen an mit ihm zusammenarbeitende Rechtspersonen (Empfänger) weitergegeben werden, insbesondere an Rechtspersonen, die Dienstleistungen der Zustellung von Korrespondenz und Sendungen, Rechts- und Archivierungsdienstleistungen erbringen.</w:t>
      </w:r>
    </w:p>
    <w:p w14:paraId="1EE682C6" w14:textId="77777777" w:rsidR="00FD454D" w:rsidRPr="005D644A"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5D644A">
        <w:rPr>
          <w:rFonts w:eastAsia="Sylfaen" w:cstheme="minorHAnsi"/>
          <w:lang w:bidi="de-DE"/>
        </w:rPr>
        <w:t>Als betroffene Person haben Sie das Recht:</w:t>
      </w:r>
    </w:p>
    <w:p w14:paraId="0C33A21A" w14:textId="77777777" w:rsidR="00FD454D" w:rsidRPr="005D644A"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5D644A">
        <w:rPr>
          <w:rFonts w:eastAsia="Calibri" w:cstheme="minorHAnsi"/>
          <w:lang w:bidi="de-DE"/>
        </w:rPr>
        <w:t>vom Verantwortlichen Folgendes zu verlangen:</w:t>
      </w:r>
    </w:p>
    <w:p w14:paraId="33DE6D74" w14:textId="77777777" w:rsidR="00FD454D" w:rsidRPr="005D644A"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5D644A">
        <w:rPr>
          <w:rFonts w:eastAsia="Calibri" w:cstheme="minorHAnsi"/>
          <w:lang w:bidi="de-DE"/>
        </w:rPr>
        <w:t>Zugriff auf diese Daten,</w:t>
      </w:r>
    </w:p>
    <w:p w14:paraId="7719C2D8" w14:textId="77777777" w:rsidR="00FD454D" w:rsidRPr="005D644A"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5D644A">
        <w:rPr>
          <w:rFonts w:eastAsia="Calibri" w:cstheme="minorHAnsi"/>
          <w:lang w:bidi="de-DE"/>
        </w:rPr>
        <w:t>sie zu korrigieren,</w:t>
      </w:r>
    </w:p>
    <w:p w14:paraId="3254D227" w14:textId="77777777" w:rsidR="00FD454D" w:rsidRPr="005D644A"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5D644A">
        <w:rPr>
          <w:rFonts w:eastAsia="Calibri" w:cstheme="minorHAnsi"/>
          <w:lang w:bidi="de-DE"/>
        </w:rPr>
        <w:t>Löschung oder Einschränkung der Verarbeitung;</w:t>
      </w:r>
    </w:p>
    <w:p w14:paraId="7B0EFB67" w14:textId="77777777" w:rsidR="00FD454D" w:rsidRPr="005D644A"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5D644A">
        <w:rPr>
          <w:rFonts w:eastAsia="Calibri" w:cstheme="minorHAnsi"/>
          <w:lang w:bidi="de-DE"/>
        </w:rPr>
        <w:t>Widerspruch gegen die Verarbeitung einzulegen;</w:t>
      </w:r>
    </w:p>
    <w:p w14:paraId="08CFAB70" w14:textId="77777777" w:rsidR="00FD454D" w:rsidRPr="005D644A"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5D644A">
        <w:rPr>
          <w:rFonts w:eastAsia="Calibri" w:cstheme="minorHAnsi"/>
          <w:lang w:bidi="de-DE"/>
        </w:rPr>
        <w:t>Datenübertragbarkeit;</w:t>
      </w:r>
    </w:p>
    <w:p w14:paraId="21F09579" w14:textId="77777777" w:rsidR="00FD454D" w:rsidRPr="005D644A"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5D644A">
        <w:rPr>
          <w:rFonts w:eastAsia="Calibri" w:cstheme="minorHAnsi"/>
          <w:lang w:bidi="de-DE"/>
        </w:rPr>
        <w:t>eine Beschwerde beim Präsidenten des Amtes für den Schutz personenbezogener Daten in Warschau einreichen.</w:t>
      </w:r>
    </w:p>
    <w:p w14:paraId="25A2F5C3" w14:textId="531BE069" w:rsidR="00FD454D" w:rsidRPr="005D644A"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5D644A">
        <w:rPr>
          <w:rFonts w:eastAsia="Sylfaen" w:cstheme="minorHAnsi"/>
          <w:lang w:bidi="de-DE"/>
        </w:rPr>
        <w:t>Die Angabe personenbezogener Daten ist freiwillig, aber notwendig, um den Antrag zu bearbeiten</w:t>
      </w:r>
      <w:r w:rsidRPr="005D644A">
        <w:rPr>
          <w:rFonts w:eastAsia="Sylfaen" w:cstheme="minorHAnsi"/>
          <w:b/>
          <w:lang w:bidi="de-DE"/>
        </w:rPr>
        <w:t xml:space="preserve"> </w:t>
      </w:r>
      <w:r w:rsidRPr="005D644A">
        <w:rPr>
          <w:rFonts w:eastAsia="Sylfaen" w:cstheme="minorHAnsi"/>
          <w:lang w:bidi="de-DE"/>
        </w:rPr>
        <w:t xml:space="preserve">und im Falle der Begründung einer Zusammenarbeit </w:t>
      </w:r>
      <w:r w:rsidR="00382E3B" w:rsidRPr="005D644A">
        <w:rPr>
          <w:rFonts w:eastAsia="Sylfaen" w:cstheme="minorHAnsi"/>
          <w:lang w:bidi="de-DE"/>
        </w:rPr>
        <w:t>–</w:t>
      </w:r>
      <w:r w:rsidRPr="005D644A">
        <w:rPr>
          <w:rFonts w:eastAsia="Sylfaen" w:cstheme="minorHAnsi"/>
          <w:lang w:bidi="de-DE"/>
        </w:rPr>
        <w:t xml:space="preserve"> um einen Vertrag abzuschließen.</w:t>
      </w:r>
    </w:p>
    <w:sectPr w:rsidR="00FD454D" w:rsidRPr="005D6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IDFont+F3">
    <w:altName w:val="Cambria"/>
    <w:panose1 w:val="020B0604020202020204"/>
    <w:charset w:val="00"/>
    <w:family w:val="roman"/>
    <w:notTrueType/>
    <w:pitch w:val="default"/>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93F0C"/>
    <w:multiLevelType w:val="multilevel"/>
    <w:tmpl w:val="B484BA08"/>
    <w:lvl w:ilvl="0">
      <w:start w:val="1"/>
      <w:numFmt w:val="decimal"/>
      <w:lvlText w:val="%1."/>
      <w:lvlJc w:val="left"/>
      <w:pPr>
        <w:ind w:left="360" w:hanging="360"/>
      </w:pPr>
      <w:rPr>
        <w:rFonts w:asciiTheme="minorHAnsi" w:hAnsiTheme="minorHAnsi" w:cstheme="minorHAnsi" w:hint="default"/>
        <w:color w:val="auto"/>
        <w:sz w:val="24"/>
        <w:szCs w:val="24"/>
      </w:r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lowerLetter"/>
      <w:lvlText w:val="%3)"/>
      <w:lvlJc w:val="left"/>
      <w:pPr>
        <w:ind w:left="1080" w:hanging="360"/>
      </w:pPr>
      <w:rPr>
        <w:rFonts w:ascii="Times New Roman" w:hAnsi="Times New Roman" w:cs="Times New Roman" w:hint="default"/>
        <w:sz w:val="24"/>
        <w:szCs w:val="24"/>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071475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4D"/>
    <w:rsid w:val="0025224C"/>
    <w:rsid w:val="00382E3B"/>
    <w:rsid w:val="0039454B"/>
    <w:rsid w:val="003D7909"/>
    <w:rsid w:val="005D644A"/>
    <w:rsid w:val="007240CB"/>
    <w:rsid w:val="007E1347"/>
    <w:rsid w:val="00864E84"/>
    <w:rsid w:val="00D924CF"/>
    <w:rsid w:val="00FD4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0158"/>
  <w15:chartTrackingRefBased/>
  <w15:docId w15:val="{DA274972-BE42-48E6-B7D9-AC13145C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454D"/>
    <w:pPr>
      <w:spacing w:before="120" w:after="120" w:line="240" w:lineRule="auto"/>
      <w:ind w:left="720"/>
      <w:contextualSpacing/>
      <w:jc w:val="both"/>
    </w:pPr>
    <w:rPr>
      <w:rFonts w:ascii="Times New Roman" w:hAnsi="Times New Roman" w:cs="Times New Roman"/>
      <w:color w:val="000000"/>
      <w:sz w:val="24"/>
      <w:szCs w:val="24"/>
    </w:rPr>
  </w:style>
  <w:style w:type="character" w:customStyle="1" w:styleId="fontstyle01">
    <w:name w:val="fontstyle01"/>
    <w:basedOn w:val="Domylnaczcionkaakapitu"/>
    <w:rsid w:val="00FD454D"/>
    <w:rPr>
      <w:rFonts w:ascii="CIDFont+F3" w:hAnsi="CIDFont+F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352</Words>
  <Characters>2117</Characters>
  <Application>Microsoft Office Word</Application>
  <DocSecurity>0</DocSecurity>
  <Lines>17</Lines>
  <Paragraphs>4</Paragraphs>
  <ScaleCrop>false</ScaleCrop>
  <Company>PartyDeco sp. z o.o. sp. k.</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Fortuński</dc:creator>
  <cp:keywords/>
  <dc:description/>
  <cp:lastModifiedBy>Rafał Fortuński</cp:lastModifiedBy>
  <cp:revision>4</cp:revision>
  <dcterms:created xsi:type="dcterms:W3CDTF">2022-10-06T12:45:00Z</dcterms:created>
  <dcterms:modified xsi:type="dcterms:W3CDTF">2025-08-01T11:26:00Z</dcterms:modified>
</cp:coreProperties>
</file>